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Рабочая программа дисциплины (модуля)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sz w:val="18"/>
          <w:szCs w:val="18"/>
        </w:rPr>
        <w:t>Кафедр</w:t>
      </w:r>
      <w:r>
        <w:rPr>
          <w:rFonts w:ascii="Times New Roman" w:hAnsi="Times New Roman"/>
          <w:sz w:val="18"/>
          <w:szCs w:val="18"/>
          <w:u w:val="none"/>
        </w:rPr>
        <w:t>а: Фундаментальных взаимодействий и космологии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sz w:val="18"/>
          <w:szCs w:val="18"/>
        </w:rPr>
        <w:t>Дисциплин</w:t>
      </w:r>
      <w:r>
        <w:rPr>
          <w:rFonts w:ascii="Times New Roman" w:hAnsi="Times New Roman"/>
          <w:sz w:val="18"/>
          <w:szCs w:val="18"/>
          <w:u w:val="none"/>
        </w:rPr>
        <w:t xml:space="preserve">а: </w:t>
      </w:r>
      <w:r>
        <w:rPr>
          <w:rFonts w:ascii="Times New Roman" w:hAnsi="Times New Roman"/>
          <w:sz w:val="18"/>
          <w:szCs w:val="18"/>
          <w:u w:val="none"/>
          <w:lang w:eastAsia="en-US"/>
        </w:rPr>
        <w:t>Симметрия в физике частиц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к экзаменам: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677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1755"/>
        <w:gridCol w:w="2635"/>
        <w:gridCol w:w="1984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6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Семестр</w:t>
            </w:r>
          </w:p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6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ind w:left="38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осенний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</w:tr>
    </w:tbl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b/>
          <w:bCs/>
          <w:sz w:val="18"/>
          <w:szCs w:val="18"/>
        </w:rPr>
        <w:t>1. Аннотация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jc w:val="both"/>
        <w:rPr>
          <w:sz w:val="18"/>
          <w:szCs w:val="1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en-US" w:bidi="ar-SA"/>
        </w:rPr>
        <w:tab/>
        <w:t xml:space="preserve">Формализм теории групп и их представлений занимает одно из ключевых мест в современной физике. Так, применение симметрийных соображений позволило систематически подойти к классификации всевозможных частиц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en-US" w:bidi="ar-SA"/>
        </w:rPr>
        <w:t>и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en-US" w:bidi="ar-SA"/>
        </w:rPr>
        <w:t xml:space="preserve"> открыло новые возможности для построения расширений существующих теоретических моделей. Можно сказать, что теория групп является общепринятым «языком» обсуждения физики частиц.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jc w:val="both"/>
        <w:rPr>
          <w:sz w:val="18"/>
          <w:szCs w:val="1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en-US" w:bidi="ar-SA"/>
        </w:rPr>
        <w:tab/>
        <w:t>Целью курса является знакомство студентов с основополагающими понятиями и техниками теории групп и их ролью в физике. Изучение начинается с дискретных групп и затем переходит к группам и алгебрам Ли. На примере квантовой механики обсуждается связь между неприводимыми представлениями групп и классификацией частиц/состояний. Вводится лагранжев формализм описания физических моделей с заданными симметриями.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jc w:val="both"/>
        <w:rPr>
          <w:sz w:val="18"/>
          <w:szCs w:val="1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en-US" w:bidi="ar-SA"/>
        </w:rPr>
        <w:tab/>
        <w:t xml:space="preserve">По окончанию курса слушатель будет готов к знакомству со Стандартной Моделью физики частиц (на классическом уровне)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en-US" w:bidi="ar-SA"/>
        </w:rPr>
        <w:t xml:space="preserve">и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en-US" w:bidi="ar-SA"/>
        </w:rPr>
        <w:t xml:space="preserve">связными областями.   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2.Цели и задачи, компетенции</w:t>
      </w:r>
    </w:p>
    <w:p>
      <w:pPr>
        <w:pStyle w:val="ListParagraph"/>
        <w:tabs>
          <w:tab w:val="clear" w:pos="720"/>
          <w:tab w:val="left" w:pos="1350" w:leader="none"/>
        </w:tabs>
        <w:spacing w:lineRule="auto" w:line="240" w:before="0" w:after="0"/>
        <w:contextualSpacing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before="0" w:after="120"/>
        <w:rPr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Цель дисциплины:</w:t>
      </w:r>
    </w:p>
    <w:p>
      <w:pPr>
        <w:pStyle w:val="Normal"/>
        <w:tabs>
          <w:tab w:val="clear" w:pos="720"/>
          <w:tab w:val="left" w:pos="1350" w:leader="none"/>
        </w:tabs>
        <w:spacing w:before="0" w:after="120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color w:val="000000"/>
          <w:sz w:val="18"/>
          <w:szCs w:val="18"/>
        </w:rPr>
        <w:t xml:space="preserve">Изучение методов теории групп и их представлений, играющих важную роль в современной физике,  в том числе </w:t>
      </w:r>
      <w:r>
        <w:rPr>
          <w:rFonts w:ascii="Times New Roman" w:hAnsi="Times New Roman"/>
          <w:b w:val="false"/>
          <w:bCs w:val="false"/>
          <w:color w:val="000000"/>
          <w:sz w:val="18"/>
          <w:szCs w:val="18"/>
          <w:lang w:val="ru-RU"/>
        </w:rPr>
        <w:t>в</w:t>
      </w:r>
      <w:r>
        <w:rPr>
          <w:rFonts w:ascii="Times New Roman" w:hAnsi="Times New Roman"/>
          <w:b w:val="false"/>
          <w:bCs w:val="false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18"/>
          <w:szCs w:val="18"/>
          <w:lang w:val="ru-RU"/>
        </w:rPr>
        <w:t xml:space="preserve">Стандартной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18"/>
          <w:szCs w:val="18"/>
          <w:lang w:val="ru-RU" w:eastAsia="en-US" w:bidi="ar-SA"/>
        </w:rPr>
        <w:t>М</w:t>
      </w:r>
      <w:r>
        <w:rPr>
          <w:rFonts w:ascii="Times New Roman" w:hAnsi="Times New Roman"/>
          <w:b w:val="false"/>
          <w:bCs w:val="false"/>
          <w:color w:val="000000"/>
          <w:sz w:val="18"/>
          <w:szCs w:val="18"/>
          <w:lang w:val="ru-RU"/>
        </w:rPr>
        <w:t>одели физики частиц.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Задачи дисциплины: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lang w:val="en-US" w:eastAsia="en-US"/>
        </w:rPr>
        <w:t xml:space="preserve">1) </w:t>
      </w:r>
      <w:r>
        <w:rPr>
          <w:rFonts w:ascii="Times New Roman" w:hAnsi="Times New Roman"/>
          <w:b w:val="false"/>
          <w:bCs w:val="false"/>
          <w:sz w:val="18"/>
          <w:szCs w:val="18"/>
          <w:lang w:val="ru-RU" w:eastAsia="en-US"/>
        </w:rPr>
        <w:t>формирование понимания роли симметрий в физике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color w:val="000000"/>
          <w:sz w:val="18"/>
          <w:szCs w:val="18"/>
          <w:lang w:val="ru-RU" w:eastAsia="en-US"/>
        </w:rPr>
        <w:t xml:space="preserve">2) знакомство с симметриями, встречающимися в физике частиц 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color w:val="000000"/>
          <w:sz w:val="18"/>
          <w:szCs w:val="18"/>
          <w:lang w:val="ru-RU" w:eastAsia="en-US"/>
        </w:rPr>
        <w:t>3</w:t>
      </w:r>
      <w:r>
        <w:rPr>
          <w:rFonts w:ascii="Times New Roman" w:hAnsi="Times New Roman"/>
          <w:b w:val="false"/>
          <w:bCs w:val="false"/>
          <w:color w:val="000000"/>
          <w:sz w:val="18"/>
          <w:szCs w:val="18"/>
          <w:lang w:val="en-US" w:eastAsia="en-US"/>
        </w:rPr>
        <w:t xml:space="preserve">)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18"/>
          <w:szCs w:val="18"/>
          <w:lang w:val="ru-RU" w:eastAsia="en-US" w:bidi="ar-SA"/>
        </w:rPr>
        <w:t>обучение терминологии и методологии применения теории групп в физике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color w:val="000000"/>
          <w:sz w:val="18"/>
          <w:szCs w:val="18"/>
          <w:lang w:val="ru-RU" w:eastAsia="en-US"/>
        </w:rPr>
        <w:t>4</w:t>
      </w:r>
      <w:r>
        <w:rPr>
          <w:rFonts w:ascii="Times New Roman" w:hAnsi="Times New Roman"/>
          <w:b w:val="false"/>
          <w:bCs w:val="false"/>
          <w:color w:val="000000"/>
          <w:sz w:val="18"/>
          <w:szCs w:val="18"/>
          <w:lang w:val="en-US" w:eastAsia="en-US"/>
        </w:rPr>
        <w:t xml:space="preserve">) </w:t>
      </w:r>
      <w:r>
        <w:rPr>
          <w:rFonts w:ascii="Times New Roman" w:hAnsi="Times New Roman"/>
          <w:b w:val="false"/>
          <w:bCs w:val="false"/>
          <w:color w:val="000000"/>
          <w:sz w:val="18"/>
          <w:szCs w:val="18"/>
          <w:lang w:val="ru-RU" w:eastAsia="en-US"/>
        </w:rPr>
        <w:t>приобретения навыков построения теорий с заданными симметриями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/>
        <w:jc w:val="both"/>
        <w:rPr/>
      </w:pPr>
      <w:r>
        <w:rPr>
          <w:rFonts w:ascii="Times New Roman" w:hAnsi="Times New Roman"/>
          <w:b/>
          <w:sz w:val="18"/>
          <w:szCs w:val="18"/>
        </w:rPr>
        <w:t>Компетенции, формируемые в процессе изучения дисциплины</w:t>
      </w:r>
    </w:p>
    <w:p>
      <w:pPr>
        <w:pStyle w:val="1"/>
        <w:spacing w:before="0" w:after="20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Освоение дисциплины направлено на формирование у обучающегося следующих компетенций: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120"/>
        <w:rPr/>
      </w:pPr>
      <w:r>
        <w:rPr>
          <w:rFonts w:eastAsia="Times New Roman" w:ascii="Times New Roman" w:hAnsi="Times New Roman"/>
          <w:b/>
          <w:sz w:val="18"/>
          <w:szCs w:val="18"/>
        </w:rPr>
        <w:t xml:space="preserve">Таблица компетенций 1 (образовательный стандарт поколения 3+).  </w:t>
      </w:r>
    </w:p>
    <w:tbl>
      <w:tblPr>
        <w:tblW w:w="10490" w:type="dxa"/>
        <w:jc w:val="left"/>
        <w:tblInd w:w="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0"/>
        <w:gridCol w:w="9649"/>
      </w:tblGrid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EAE5D8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EAE5D8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компетенции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Способность понимать ключевые аспекты и концепции в области их специализации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ОПК-4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Способность применять полученные знания для анализа систем, процессов и методов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ОПК-5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логически точно, аргументированно и ясно строить устную и письменную речь, формулировать свою точку зрения, владением навыками ведения научной и общекультурной дискуссий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ОПК-6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представлять результаты собственной деятельности с использованием современных средств, ориентируясь на потребности аудитории, в том числе в форме отчетов, презентаций, докладов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планировать и проводить научные эксперименты (в избранной предметной области) и (или) теоретические (аналитические и имитационные) исследования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Способность анализировать полученные в ходе научно-исследовательской работы данные и делать научные выводы (заключения)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выбирать и применять подходящее оборудование, инструменты и методы исследований для решения задач в избранной предметной области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критически оценивать применимость применяемых методик и методов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понимать принципы составления проектов работ в избранной области и экономические аспекты проектной деятельности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понимать и применять методологии проектирования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демонстрировать осведомленность в сфере проектного менеджмента и бизнеса, знание и понимание влияния рисков и изменяющихся условий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ОК-1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использовать основы философских знаний для формирования мировозренческой позиции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ОК-2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ОК-3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ОК-4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использовать основы правовых знаний в различных сферах жизнедеятельности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ОК-5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ОК-6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ОК-7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Способность к самоорганизации и самообразованию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ОК-8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>
        <w:trPr>
          <w:trHeight w:val="6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tcMar>
              <w:left w:w="0" w:type="dxa"/>
            </w:tcMar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ОК-9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</w:tr>
    </w:tbl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18"/>
          <w:szCs w:val="18"/>
        </w:rPr>
        <w:t xml:space="preserve">Таблица компетенций 2 </w:t>
      </w:r>
      <w:r>
        <w:rPr>
          <w:rFonts w:eastAsia="Times New Roman" w:ascii="Times New Roman" w:hAnsi="Times New Roman"/>
          <w:b/>
          <w:sz w:val="18"/>
          <w:szCs w:val="18"/>
        </w:rPr>
        <w:t xml:space="preserve">(образовательный стандарт поколения 3++). </w:t>
      </w:r>
    </w:p>
    <w:tbl>
      <w:tblPr>
        <w:tblW w:w="10488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0"/>
        <w:gridCol w:w="4051"/>
        <w:gridCol w:w="920"/>
        <w:gridCol w:w="4736"/>
      </w:tblGrid>
      <w:tr>
        <w:trPr>
          <w:trHeight w:val="219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5D8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5D8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компетенции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AE5D8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AE5D8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индикатора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ОПК-1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применять фундаментальные знания, полученные в области физико-математических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ОПК-1.1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Способен анализировать поставленную задачу, намечать пути ее решения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ОПК-1.2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Способен строить математические модели, производить количественные расчеты и оценки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ОПК-1.3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определять границы применимости полученных результатов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ОПК-2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использовать современные информационные технологии и программные средства при решении задач профессиональной деятельности, соблюдая требования информационной безопасности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ОПК-2.1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применять современные вычислительную технику и сервисы сети Интернет в области (сфере) профессиональной деятельности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ОПК-2.2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и умеет применять численные математические методы и прикладное программное обеспечение для решения научных задач в профессиональной области</w:t>
            </w:r>
          </w:p>
        </w:tc>
      </w:tr>
      <w:tr>
        <w:trPr>
          <w:trHeight w:val="204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ОПК-2.3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основные требования информационной безопасности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ОПК-3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составлять и оформлять научные и (или) технические (технологические, инновационные) отчеты (публикации, проекты)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ОПК-3.1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основные правила оформления научных публикаций и научно-технической документации, в том числе с использованием прикладного программного обеспечения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ОПК-3.2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Владеет на практике методологией составления научно-технических отчетов (проектов)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ОПК-3.3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Владеет методами визуального и графического представления результатов научной (научно-технической, инновационной технологической) деятельности в виде отчетов, научных публикаций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ОПК-4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осуществлять сбор и обработку научно-технической и (или) технологической информации для решения фундаментальных и прикладных задач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ОПК-4.1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Владеет методами научного поиска и интеллектуального анализа информации при решении задач профессиональной деятельности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ОПК-4.2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основные источники научно-технической и (или) технологической информации в области профессиональной деятельности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ОПК-4.3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Умеет составлять аннотации, рефераты, библиографические перечни и обзоры информации в области своей профессиональной деятельности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ОПК-4.4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Владеет навыками работы с компьютером и компьютерными сетями с целью получения, хранения и обработки научной (технической, технологической) информации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ОПК-5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участвовать в проведении фундаментальных и прикладных исследований и разработок, самостоятельно осваивать новые теоретические, в том числе, математические методы исследований, и работать на современной экспериментальной научно-исследовательской, измерительно-аналитической и технологической аппаратуре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ОПК-5.1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Способен решать поставленные задачи в области теоретических и экспериментальных исследований и разработок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ОПК-5.2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Обладает способностью к освоению новых знаний на основе изучения литературы, научных статей и других источников</w:t>
            </w:r>
          </w:p>
        </w:tc>
      </w:tr>
      <w:tr>
        <w:trPr>
          <w:trHeight w:val="636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ОПК-5.3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к профессиональной эксплуатации современной экспериментальной научно-исследовательской (измерительно-аналитической и технологической) аппаратуры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Способен планировать и проводить научные эксперименты (в избранной предметной области) и (или) теоретические (аналитические и имитационные) исследования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Владеет фундаментальными понятиями, законами и теориями современной физики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Имеет глубокое знание и понимание базовых математических дисциплин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Владеет культурой постановки научной задачи и моделирования естественнонаучных объектов и систем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ПК-1.4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Умеет строить математические модели для описания и исследования процессов и явлений в соответствующих научных областях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ПК-1.5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Владеет навыками безопасной работы с современными научными приборами и другим экспериментальным оборудованием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ПК-1.6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основные правила поведения и работы в современной научной лаборатории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ПК-1.7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оценивать требуемые ресурсы (материальные и временные) для планирования и проведения научного эксперимента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ПК-1.8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Владеет навыками работы с современными языками программирования и программными пакетами для научных расчетов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ПК-1.9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перечень ведущих периодических научных изданий и способен выделять актуальные научные публикации в профессиональной области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ПК-2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анализировать полученные в ходе научно-исследовательской работы данные и делать научные выводы (заключения)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ПК-2.1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Владеет методами статистической обработки и анализа научных данных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ПК-2.2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Умеет находить ключевые параметры, определяющие изучаемое явление, и производить численные оценки по порядку величины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ПК-2.3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представлять научные утверждения, их обоснования и доказательства, научные проблемы и их решения ясно и точно в терминах, понятных для профессиональной аудитории в письменной и устной форме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ПК-3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выбирать и применять подходящее оборудование, инструменты и методы исследований для решения задач в избранной предметной области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ПК-3.1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принципы работы и диапазоны рабочих параметров используемого научного оборудования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ПК-3.2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области и критерии применимости используемых теоретических подходов и умение оценивать точность приближенных аналитических методов вычислений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ПК-3.3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Умеет производить оценку точности численных методов, используемых на ЭВМ, вычислительной сложности используемых алгоритмов и объема требуемых вычислительных ресурсов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ПК-4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критически оценивать применимость используемых методик и методов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ПК-4.1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численные порядки величин, характерных для соответствующей профессиональной области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ПК-4.2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источники происхождения и умеет производить оценку погрешности измерений и достоверности экспериментальных результатов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ПК-4.3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обосновать причинно-следственные отношения используемых понятий и моделей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ПК-5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понимать принципы составления технических проектов работ в избранной области и экономические аспекты проектной деятельности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ПК-5.1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 представление о методиках и основных этапах проектирования разрабатываемого изделия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ПК-5.2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производить анализ аналогичных проектов, определяя их положительные и отрицательные качества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ПК-5.3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Использует нормативную документацию для стандартизации принятых решений и унификации разработанных изделий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ПК-5.4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 ориентировочный расчет экономической целесообразности принятых решений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ПК-6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понимать и применять методологии проектирования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ПК-6.1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Владеет современными технологиями разработки проектной и конструкторской документации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ПК-6.2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Применяет необходимые компьютерные пакеты для выполнения проектной работы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ПК-6.3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Проводит необходимые предварительные расчеты работоспособности и надежности разрабатываемой конструкции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ПК-6.4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Подготавливает необходимые условия для проведения макетирования разрабатываемого изделия с оценкой полученных результатов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ПК-6.5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Предусматривает возможность усовершенствования разрабатываемого изделия и проводит улучшения по результатам опытных испытаний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ПК-7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применять современные информационные технологии, пакеты прикладных программ, сетевые компьютерные технологии и базы данных в предметной области для проектных и конструкторских работ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ПК-7.1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 представление об основных типах программных пакетов для проведения проектных и конструкторско-технологических работ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ПК-7.2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Умеет определять набор необходимых программных продуктов (прикладных пользовательских приложений и серверных решений) для реализации конкретной проектной задачи с целью минимизации трудоёмкости и повышения экономической эффективности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ПК-7.3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использовать сообразные проектной задаче программные продукты, умеет проводить базовую настройку данных продуктов под требования конкретного проекта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ПК-7.4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Владеет навыками эффективной и безопасной работы в сетевой архитектуре уровня предприятия, умеет эффективно использовать системы распределённых вычислений для распараллеливания вычислительных операций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ПК-7.5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Умеет использовать современные системы хранения данных и контроля версий, в том числе используемые прикладными пакетами облачные технологии хранения данных в рамках сети предприятия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ПК-8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к преподаванию физико-математических дисциплин в образовательном учреждении общего образования, дополнительного образования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ПК-8.1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современные методики и технологии организации образовательной (учебной и воспитательной) деятельности, имеет представление о современном законодательстве в области образования, требованиях образовательных стандартов общего образования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ПК-8.2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Умеет проектировать элементы образовательной программы; планировать, моделировать и реализовывать различные организационные формы в процессе обучения физико-математическим дисциплинам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ПК-8.3</w:t>
            </w:r>
          </w:p>
        </w:tc>
        <w:tc>
          <w:tcPr>
            <w:tcW w:w="4736" w:type="dxa"/>
            <w:tcBorders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применять различные методы обучения и образовательные технологии,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ПК-9</w:t>
            </w:r>
          </w:p>
        </w:tc>
        <w:tc>
          <w:tcPr>
            <w:tcW w:w="4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организовывать совместную и индивидуальную учебную деятельность обучающихся, осуществлять педагогическую поддержку обучающихся с выдающимися способностями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ПК-9.1</w:t>
            </w:r>
          </w:p>
        </w:tc>
        <w:tc>
          <w:tcPr>
            <w:tcW w:w="4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Знает и умеет применять формы и методы контроля, оценивания результатов обучения физико-математическим дисциплинам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ПК-9.2</w:t>
            </w:r>
          </w:p>
        </w:tc>
        <w:tc>
          <w:tcPr>
            <w:tcW w:w="47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Способен осуществлять индивидуальную работу с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с учетом индивидуальных особенностей обучающихся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ПК-9.3</w:t>
            </w:r>
          </w:p>
        </w:tc>
        <w:tc>
          <w:tcPr>
            <w:tcW w:w="47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Умеет организовывать различные виды деятельности обучающихся в образовательном процессе; применять методы мотивации обучающихся к учебной и учебно-исследовательской работе</w:t>
            </w:r>
          </w:p>
        </w:tc>
      </w:tr>
      <w:tr>
        <w:trPr>
          <w:trHeight w:val="219" w:hRule="atLeast"/>
        </w:trPr>
        <w:tc>
          <w:tcPr>
            <w:tcW w:w="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ПК-9.4</w:t>
            </w:r>
          </w:p>
        </w:tc>
        <w:tc>
          <w:tcPr>
            <w:tcW w:w="473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Умеет осуществлять отбор учебного и методического материала для реализации в различных формах обучения физико-математическим дисциплинам в соответствии с дидактическими целями и возрастными особенностями обучающихся</w:t>
            </w:r>
          </w:p>
        </w:tc>
      </w:tr>
    </w:tbl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3. Место дисциплины 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Место дисциплины (модуля) в структуре образовательной программы бакалавриата (магистратуры):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jc w:val="both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color w:val="000000"/>
          <w:sz w:val="18"/>
          <w:szCs w:val="18"/>
        </w:rPr>
        <w:t>Курс «</w:t>
      </w:r>
      <w:r>
        <w:rPr>
          <w:rFonts w:ascii="Times New Roman" w:hAnsi="Times New Roman"/>
          <w:b w:val="false"/>
          <w:bCs w:val="false"/>
          <w:color w:val="000000"/>
          <w:sz w:val="18"/>
          <w:szCs w:val="18"/>
          <w:lang w:val="ru-RU" w:eastAsia="en-US"/>
        </w:rPr>
        <w:t>Симметрия в физике частиц</w:t>
      </w:r>
      <w:r>
        <w:rPr>
          <w:rFonts w:ascii="Times New Roman" w:hAnsi="Times New Roman"/>
          <w:b w:val="false"/>
          <w:bCs w:val="false"/>
          <w:color w:val="000000"/>
          <w:sz w:val="18"/>
          <w:szCs w:val="18"/>
        </w:rPr>
        <w:t>» относится к вариативной части образовательной программы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 Дисциплина базируется на (</w:t>
      </w:r>
      <w:r>
        <w:rPr>
          <w:rFonts w:ascii="Times New Roman" w:hAnsi="Times New Roman"/>
          <w:i/>
          <w:sz w:val="18"/>
          <w:szCs w:val="18"/>
        </w:rPr>
        <w:t>перечислить дисциплины</w:t>
      </w:r>
      <w:r>
        <w:rPr>
          <w:rFonts w:ascii="Times New Roman" w:hAnsi="Times New Roman"/>
          <w:sz w:val="18"/>
          <w:szCs w:val="18"/>
        </w:rPr>
        <w:t>):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50" w:leader="none"/>
        </w:tabs>
        <w:spacing w:lineRule="auto" w:line="240" w:before="0" w:after="0"/>
        <w:contextualSpacing/>
        <w:rPr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  <w:lang w:eastAsia="en-US"/>
        </w:rPr>
        <w:t>Квантовая механика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50" w:leader="none"/>
        </w:tabs>
        <w:spacing w:lineRule="auto" w:line="240" w:before="0" w:after="0"/>
        <w:contextualSpacing/>
        <w:rPr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  <w:lang w:eastAsia="en-US"/>
        </w:rPr>
        <w:t>Теория поля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50" w:leader="none"/>
        </w:tabs>
        <w:spacing w:lineRule="auto" w:line="240" w:before="0" w:after="0"/>
        <w:contextualSpacing/>
        <w:rPr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  <w:lang w:eastAsia="en-US"/>
        </w:rPr>
        <w:t>Линейная алгебра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Дисциплина предшествует изучению дисциплин (</w:t>
      </w:r>
      <w:r>
        <w:rPr>
          <w:rFonts w:ascii="Times New Roman" w:hAnsi="Times New Roman"/>
          <w:i/>
          <w:sz w:val="18"/>
          <w:szCs w:val="18"/>
        </w:rPr>
        <w:t>перечислить дисциплины</w:t>
      </w:r>
      <w:r>
        <w:rPr>
          <w:rFonts w:ascii="Times New Roman" w:hAnsi="Times New Roman"/>
          <w:sz w:val="18"/>
          <w:szCs w:val="18"/>
        </w:rPr>
        <w:t>):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contextualSpacing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Введение в физику элементарных частиц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contextualSpacing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Калибровочные теории в физике элементарных частиц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350" w:leader="none"/>
        </w:tabs>
        <w:spacing w:lineRule="auto" w:line="240" w:before="0" w:after="0"/>
        <w:contextualSpacing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Квантовая теория поля 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результате освоения дисциплины обучающиеся должны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Знать: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основы теоретико-группового подхода построения физических теорий</w:t>
      </w:r>
    </w:p>
    <w:p>
      <w:pPr>
        <w:pStyle w:val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Уметь: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строить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>лагранжианы теорий с заданными симметриями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Владеть: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навыками освоения большого объема информации, навыками самостоятельной работы.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Темы и Разделы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sz w:val="18"/>
          <w:szCs w:val="18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210" w:type="dxa"/>
        <w:jc w:val="left"/>
        <w:tblInd w:w="0" w:type="dxa"/>
        <w:tblCellMar>
          <w:top w:w="0" w:type="dxa"/>
          <w:left w:w="6" w:type="dxa"/>
          <w:bottom w:w="0" w:type="dxa"/>
          <w:right w:w="6" w:type="dxa"/>
        </w:tblCellMar>
        <w:tblLook w:firstRow="1" w:noVBand="1" w:lastRow="0" w:firstColumn="1" w:lastColumn="0" w:noHBand="0" w:val="04a0"/>
      </w:tblPr>
      <w:tblGrid>
        <w:gridCol w:w="426"/>
        <w:gridCol w:w="3939"/>
        <w:gridCol w:w="1308"/>
        <w:gridCol w:w="1419"/>
        <w:gridCol w:w="1582"/>
        <w:gridCol w:w="1535"/>
      </w:tblGrid>
      <w:tr>
        <w:trPr>
          <w:trHeight w:val="630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Семестр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Семинары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Лаборат. работы</w:t>
            </w:r>
          </w:p>
        </w:tc>
      </w:tr>
      <w:tr>
        <w:trPr>
          <w:trHeight w:val="207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3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82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Р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 xml:space="preserve">оль симметрий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в физике.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Конечные группы и их представления.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Группы и алгебры Ли.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ru-RU"/>
              </w:rPr>
              <w:t xml:space="preserve">Конечномерные представления группы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/>
              </w:rPr>
              <w:t>SU(2)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35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ru-RU"/>
              </w:rPr>
              <w:t>Теория групп и классификация состояний в квантовой механике.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Построение теорий с заданными симметриями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Представления группы Лоренца.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Конечномерные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 xml:space="preserve"> представлени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я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 xml:space="preserve"> группы 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/>
              </w:rPr>
              <w:t>SU(3)</w:t>
            </w: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79" w:hRule="atLeast"/>
        </w:trPr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color w:val="000000"/>
                <w:sz w:val="18"/>
                <w:szCs w:val="18"/>
              </w:rPr>
              <w:t>Итого часов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FFFFFF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tabs>
          <w:tab w:val="clear" w:pos="720"/>
          <w:tab w:val="left" w:pos="1350" w:leader="none"/>
        </w:tabs>
        <w:spacing w:lineRule="auto" w:line="240" w:before="0" w:after="0"/>
        <w:contextualSpacing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sz w:val="18"/>
          <w:szCs w:val="18"/>
        </w:rPr>
        <w:t>Содержание темы</w:t>
      </w:r>
      <w:r>
        <w:rPr>
          <w:rFonts w:ascii="Times New Roman" w:hAnsi="Times New Roman"/>
          <w:b/>
          <w:sz w:val="18"/>
          <w:szCs w:val="18"/>
        </w:rPr>
        <w:t>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18"/>
          <w:szCs w:val="18"/>
          <w:lang w:val="ru-RU" w:eastAsia="en-US" w:bidi="ar-SA"/>
        </w:rPr>
        <w:t>Р</w:t>
      </w:r>
      <w:r>
        <w:rPr>
          <w:rFonts w:eastAsia="Times New Roman" w:ascii="Times New Roman" w:hAnsi="Times New Roman"/>
          <w:i w:val="false"/>
          <w:iCs w:val="false"/>
          <w:color w:val="000000"/>
          <w:sz w:val="18"/>
          <w:szCs w:val="18"/>
        </w:rPr>
        <w:t xml:space="preserve">оль симметрий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18"/>
          <w:szCs w:val="18"/>
          <w:lang w:val="ru-RU" w:eastAsia="en-US" w:bidi="ar-SA"/>
        </w:rPr>
        <w:t>в физике.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Понятие симметрии, связь с теорий групп. Р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 xml:space="preserve">азличные примеры: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en-US" w:eastAsia="en-US" w:bidi="ar-SA"/>
        </w:rPr>
        <w:t xml:space="preserve">P, T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>симметрии, группы Галилея и Лоренца</w:t>
      </w:r>
      <w:r>
        <w:rPr>
          <w:rFonts w:ascii="Times New Roman" w:hAnsi="Times New Roman"/>
          <w:sz w:val="18"/>
          <w:szCs w:val="18"/>
          <w:lang w:eastAsia="en-US"/>
        </w:rPr>
        <w:t>.</w:t>
        <w:tab/>
        <w:t>Симметрия как ведущий принцип при построении теорий.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000000"/>
          <w:sz w:val="18"/>
          <w:szCs w:val="18"/>
        </w:rPr>
        <w:t>2. Конечные группы и их представления.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Понятие конечных групп и их </w:t>
      </w:r>
      <w:r>
        <w:rPr>
          <w:rFonts w:ascii="Times New Roman" w:hAnsi="Times New Roman"/>
          <w:sz w:val="18"/>
          <w:szCs w:val="18"/>
          <w:lang w:eastAsia="en-US"/>
        </w:rPr>
        <w:t xml:space="preserve">представлений.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>Н</w:t>
      </w:r>
      <w:r>
        <w:rPr>
          <w:rFonts w:ascii="Times New Roman" w:hAnsi="Times New Roman"/>
          <w:sz w:val="18"/>
          <w:szCs w:val="18"/>
          <w:lang w:eastAsia="en-US"/>
        </w:rPr>
        <w:t>еприводимы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>е</w:t>
      </w:r>
      <w:r>
        <w:rPr>
          <w:rFonts w:ascii="Times New Roman" w:hAnsi="Times New Roman"/>
          <w:sz w:val="18"/>
          <w:szCs w:val="18"/>
          <w:lang w:eastAsia="en-US"/>
        </w:rPr>
        <w:t xml:space="preserve"> представлени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>я,</w:t>
      </w:r>
      <w:r>
        <w:rPr>
          <w:rFonts w:ascii="Times New Roman" w:hAnsi="Times New Roman"/>
          <w:sz w:val="18"/>
          <w:szCs w:val="18"/>
          <w:lang w:eastAsia="en-US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>пример</w:t>
      </w:r>
      <w:r>
        <w:rPr>
          <w:rFonts w:ascii="Times New Roman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val="en-US" w:eastAsia="en-US"/>
        </w:rPr>
        <w:t xml:space="preserve">P </w:t>
      </w:r>
      <w:r>
        <w:rPr>
          <w:rFonts w:ascii="Times New Roman" w:hAnsi="Times New Roman"/>
          <w:sz w:val="18"/>
          <w:szCs w:val="18"/>
          <w:lang w:val="ru-RU" w:eastAsia="en-US"/>
        </w:rPr>
        <w:t xml:space="preserve">симметрии. </w:t>
      </w:r>
      <w:r>
        <w:rPr>
          <w:rFonts w:ascii="Times New Roman" w:hAnsi="Times New Roman"/>
          <w:sz w:val="18"/>
          <w:szCs w:val="18"/>
          <w:lang w:eastAsia="en-US"/>
        </w:rPr>
        <w:t xml:space="preserve">Группа </w:t>
        <w:tab/>
        <w:t>перестановок. Нахождение собственных мод колебаний с помощью теории групп.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>
        <w:rPr>
          <w:rFonts w:eastAsia="Times New Roman" w:ascii="Times New Roman" w:hAnsi="Times New Roman"/>
          <w:color w:val="000000"/>
          <w:sz w:val="18"/>
          <w:szCs w:val="18"/>
        </w:rPr>
        <w:t>Группы и алгебры Ли.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Понятие групп и</w:t>
      </w:r>
      <w:r>
        <w:rPr>
          <w:rFonts w:ascii="Times New Roman" w:hAnsi="Times New Roman"/>
          <w:sz w:val="18"/>
          <w:szCs w:val="18"/>
          <w:lang w:val="en-US"/>
        </w:rPr>
        <w:t xml:space="preserve"> алгеб</w:t>
      </w:r>
      <w:r>
        <w:rPr>
          <w:rFonts w:ascii="Times New Roman" w:hAnsi="Times New Roman"/>
          <w:sz w:val="18"/>
          <w:szCs w:val="18"/>
          <w:lang w:val="ru-RU"/>
        </w:rPr>
        <w:t>р Л</w:t>
      </w:r>
      <w:r>
        <w:rPr>
          <w:rFonts w:ascii="Times New Roman" w:hAnsi="Times New Roman"/>
          <w:sz w:val="18"/>
          <w:szCs w:val="18"/>
          <w:lang w:val="en-US"/>
        </w:rPr>
        <w:t>и</w:t>
      </w:r>
      <w:r>
        <w:rPr>
          <w:rFonts w:ascii="Times New Roman" w:hAnsi="Times New Roman"/>
          <w:sz w:val="18"/>
          <w:szCs w:val="18"/>
          <w:lang w:val="ru-RU"/>
        </w:rPr>
        <w:t xml:space="preserve"> и </w:t>
      </w:r>
      <w:r>
        <w:rPr>
          <w:rFonts w:ascii="Times New Roman" w:hAnsi="Times New Roman"/>
          <w:sz w:val="18"/>
          <w:szCs w:val="18"/>
        </w:rPr>
        <w:t xml:space="preserve">их </w:t>
      </w:r>
      <w:r>
        <w:rPr>
          <w:rFonts w:ascii="Times New Roman" w:hAnsi="Times New Roman"/>
          <w:sz w:val="18"/>
          <w:szCs w:val="18"/>
          <w:lang w:eastAsia="en-US"/>
        </w:rPr>
        <w:t xml:space="preserve">представлений. </w:t>
      </w:r>
      <w:r>
        <w:rPr>
          <w:rFonts w:eastAsia="Times New Roman" w:ascii="Times New Roman" w:hAnsi="Times New Roman"/>
          <w:color w:val="000000"/>
          <w:sz w:val="18"/>
          <w:szCs w:val="18"/>
          <w:lang w:eastAsia="en-US"/>
        </w:rPr>
        <w:t xml:space="preserve">Компактные группы Ли. Матричные группы </w:t>
      </w:r>
      <w:r>
        <w:rPr>
          <w:rFonts w:eastAsia="Times New Roman" w:ascii="Times New Roman" w:hAnsi="Times New Roman"/>
          <w:color w:val="000000"/>
          <w:sz w:val="18"/>
          <w:szCs w:val="18"/>
          <w:lang w:val="en-US" w:eastAsia="en-US"/>
        </w:rPr>
        <w:t>SO(n), SU(n)</w:t>
      </w:r>
      <w:r>
        <w:rPr>
          <w:rFonts w:eastAsia="Times New Roman" w:ascii="Times New Roman" w:hAnsi="Times New Roman"/>
          <w:color w:val="000000"/>
          <w:sz w:val="18"/>
          <w:szCs w:val="18"/>
          <w:lang w:eastAsia="en-US"/>
        </w:rPr>
        <w:t xml:space="preserve">. Группа </w:t>
        <w:tab/>
        <w:t>как симметрия билинейной формы.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val="en-US"/>
        </w:rPr>
        <w:t>4</w:t>
      </w:r>
      <w:r>
        <w:rPr>
          <w:rFonts w:eastAsia="Times New Roman" w:ascii="Times New Roman" w:hAnsi="Times New Roman"/>
          <w:color w:val="000000"/>
          <w:sz w:val="18"/>
          <w:szCs w:val="18"/>
        </w:rPr>
        <w:t xml:space="preserve">. </w:t>
      </w:r>
      <w:r>
        <w:rPr>
          <w:rFonts w:eastAsia="Times New Roman" w:ascii="Times New Roman" w:hAnsi="Times New Roman"/>
          <w:color w:val="000000"/>
          <w:sz w:val="18"/>
          <w:szCs w:val="18"/>
          <w:lang w:val="ru-RU"/>
        </w:rPr>
        <w:t xml:space="preserve">Конечномерные представления группы </w:t>
      </w:r>
      <w:r>
        <w:rPr>
          <w:rFonts w:eastAsia="Times New Roman" w:ascii="Times New Roman" w:hAnsi="Times New Roman"/>
          <w:color w:val="000000"/>
          <w:sz w:val="18"/>
          <w:szCs w:val="18"/>
          <w:lang w:val="en-US"/>
        </w:rPr>
        <w:t>SU(2)</w:t>
      </w:r>
      <w:r>
        <w:rPr>
          <w:rFonts w:eastAsia="Times New Roman" w:ascii="Times New Roman" w:hAnsi="Times New Roman"/>
          <w:color w:val="000000"/>
          <w:sz w:val="18"/>
          <w:szCs w:val="18"/>
          <w:lang w:val="ru-RU"/>
        </w:rPr>
        <w:t>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000000"/>
          <w:sz w:val="18"/>
          <w:szCs w:val="18"/>
        </w:rPr>
        <w:tab/>
        <w:t xml:space="preserve">Группы </w:t>
      </w:r>
      <w:r>
        <w:rPr>
          <w:rFonts w:eastAsia="Times New Roman" w:ascii="Times New Roman" w:hAnsi="Times New Roman"/>
          <w:color w:val="000000"/>
          <w:sz w:val="18"/>
          <w:szCs w:val="18"/>
          <w:lang w:val="en-US"/>
        </w:rPr>
        <w:t xml:space="preserve">SU(2) </w:t>
      </w:r>
      <w:r>
        <w:rPr>
          <w:rFonts w:eastAsia="Times New Roman" w:ascii="Times New Roman" w:hAnsi="Times New Roman"/>
          <w:color w:val="000000"/>
          <w:sz w:val="18"/>
          <w:szCs w:val="18"/>
          <w:lang w:val="ru-RU"/>
        </w:rPr>
        <w:t xml:space="preserve">и </w:t>
      </w:r>
      <w:r>
        <w:rPr>
          <w:rFonts w:eastAsia="Times New Roman" w:ascii="Times New Roman" w:hAnsi="Times New Roman"/>
          <w:color w:val="000000"/>
          <w:sz w:val="18"/>
          <w:szCs w:val="18"/>
          <w:lang w:val="en-US"/>
        </w:rPr>
        <w:t xml:space="preserve">SO(3), </w:t>
      </w:r>
      <w:r>
        <w:rPr>
          <w:rFonts w:eastAsia="Times New Roman" w:ascii="Times New Roman" w:hAnsi="Times New Roman"/>
          <w:color w:val="000000"/>
          <w:sz w:val="18"/>
          <w:szCs w:val="18"/>
          <w:lang w:val="ru-RU"/>
        </w:rPr>
        <w:t xml:space="preserve">их связь. Конечномерные представления группы </w:t>
      </w:r>
      <w:r>
        <w:rPr>
          <w:rFonts w:eastAsia="Times New Roman" w:ascii="Times New Roman" w:hAnsi="Times New Roman"/>
          <w:color w:val="000000"/>
          <w:sz w:val="18"/>
          <w:szCs w:val="18"/>
          <w:lang w:val="en-US"/>
        </w:rPr>
        <w:t xml:space="preserve">SU(2), </w:t>
      </w:r>
      <w:r>
        <w:rPr>
          <w:rFonts w:eastAsia="Times New Roman" w:ascii="Times New Roman" w:hAnsi="Times New Roman"/>
          <w:color w:val="000000"/>
          <w:sz w:val="18"/>
          <w:szCs w:val="18"/>
          <w:lang w:val="ru-RU"/>
        </w:rPr>
        <w:t xml:space="preserve">понятие спина. Разбиение тензорного </w:t>
        <w:tab/>
        <w:t>произведения представлений на неприводимые представления.</w:t>
      </w:r>
      <w:r>
        <w:rPr>
          <w:rFonts w:eastAsia="Times New Roman" w:ascii="Times New Roman" w:hAnsi="Times New Roman"/>
          <w:color w:val="000000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val="ru-RU"/>
        </w:rPr>
        <w:t>5</w:t>
      </w:r>
      <w:r>
        <w:rPr>
          <w:rFonts w:eastAsia="Times New Roman" w:ascii="Times New Roman" w:hAnsi="Times New Roman"/>
          <w:color w:val="000000"/>
          <w:sz w:val="18"/>
          <w:szCs w:val="18"/>
        </w:rPr>
        <w:t>. Теория групп и классификация состояний в квантовой механике.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val="ru-RU" w:eastAsia="en-US"/>
        </w:rPr>
        <w:tab/>
        <w:t xml:space="preserve">Классификация состояний в квантовой механики с точки зрения теории групп. Собственные состояния как элементы </w:t>
        <w:tab/>
        <w:t xml:space="preserve">неприводимого представления. </w:t>
      </w:r>
      <w:r>
        <w:rPr>
          <w:rFonts w:eastAsia="Times New Roman" w:cs="Times New Roman" w:ascii="Times New Roman" w:hAnsi="Times New Roman"/>
          <w:color w:val="000000"/>
          <w:kern w:val="0"/>
          <w:sz w:val="18"/>
          <w:szCs w:val="18"/>
          <w:lang w:val="ru-RU" w:eastAsia="en-US" w:bidi="ar-SA"/>
        </w:rPr>
        <w:t>Алгебра Картана</w:t>
      </w:r>
      <w:r>
        <w:rPr>
          <w:rFonts w:eastAsia="Times New Roman" w:ascii="Times New Roman" w:hAnsi="Times New Roman"/>
          <w:color w:val="000000"/>
          <w:sz w:val="18"/>
          <w:szCs w:val="18"/>
          <w:lang w:val="ru-RU" w:eastAsia="en-US"/>
        </w:rPr>
        <w:t>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val="ru-RU"/>
        </w:rPr>
        <w:t>6</w:t>
      </w:r>
      <w:r>
        <w:rPr>
          <w:rFonts w:eastAsia="Times New Roman" w:ascii="Times New Roman" w:hAnsi="Times New Roman"/>
          <w:color w:val="000000"/>
          <w:sz w:val="18"/>
          <w:szCs w:val="18"/>
        </w:rPr>
        <w:t xml:space="preserve">. </w:t>
      </w:r>
      <w:r>
        <w:rPr>
          <w:rFonts w:eastAsia="Times New Roman" w:ascii="Times New Roman" w:hAnsi="Times New Roman"/>
          <w:color w:val="000000"/>
          <w:sz w:val="18"/>
          <w:szCs w:val="18"/>
          <w:lang w:val="ru-RU"/>
        </w:rPr>
        <w:t>Построение теорий с заданными симметриями.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val="ru-RU" w:eastAsia="en-US"/>
        </w:rPr>
        <w:tab/>
        <w:t xml:space="preserve">Поля как неприводимые представления групп симметрий. Примеры </w:t>
      </w:r>
      <w:r>
        <w:rPr>
          <w:rFonts w:eastAsia="Times New Roman" w:ascii="Times New Roman" w:hAnsi="Times New Roman"/>
          <w:color w:val="000000"/>
          <w:sz w:val="18"/>
          <w:szCs w:val="18"/>
          <w:lang w:val="en-US" w:eastAsia="en-US"/>
        </w:rPr>
        <w:t xml:space="preserve">SU(2)- </w:t>
      </w:r>
      <w:r>
        <w:rPr>
          <w:rFonts w:eastAsia="Times New Roman" w:ascii="Times New Roman" w:hAnsi="Times New Roman"/>
          <w:color w:val="000000"/>
          <w:sz w:val="18"/>
          <w:szCs w:val="18"/>
          <w:lang w:val="ru-RU" w:eastAsia="en-US"/>
        </w:rPr>
        <w:t xml:space="preserve">и </w:t>
      </w:r>
      <w:r>
        <w:rPr>
          <w:rFonts w:eastAsia="Times New Roman" w:ascii="Times New Roman" w:hAnsi="Times New Roman"/>
          <w:color w:val="000000"/>
          <w:sz w:val="18"/>
          <w:szCs w:val="18"/>
          <w:lang w:val="en-US" w:eastAsia="en-US"/>
        </w:rPr>
        <w:t>SU(3)-</w:t>
      </w:r>
      <w:r>
        <w:rPr>
          <w:rFonts w:eastAsia="Times New Roman" w:ascii="Times New Roman" w:hAnsi="Times New Roman"/>
          <w:color w:val="000000"/>
          <w:sz w:val="18"/>
          <w:szCs w:val="18"/>
          <w:lang w:val="ru-RU" w:eastAsia="en-US"/>
        </w:rPr>
        <w:t xml:space="preserve">лагранжианов с различными </w:t>
        <w:tab/>
        <w:t>представлениями полей. Понятие самодействия и взаимодействия полей.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val="en-US"/>
        </w:rPr>
        <w:t>7</w:t>
      </w:r>
      <w:r>
        <w:rPr>
          <w:rFonts w:eastAsia="Times New Roman" w:ascii="Times New Roman" w:hAnsi="Times New Roman"/>
          <w:color w:val="000000"/>
          <w:sz w:val="18"/>
          <w:szCs w:val="18"/>
        </w:rPr>
        <w:t>. Представления группы Лоренца.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val="ru-RU" w:eastAsia="en-US"/>
        </w:rPr>
        <w:tab/>
        <w:t xml:space="preserve">Группа Лоренца и её подгруппы. Неприводимые представления группы Лоренца. Понятие бозонов и фермионов. 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8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eastAsia="Times New Roman" w:ascii="Times New Roman" w:hAnsi="Times New Roman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18"/>
          <w:szCs w:val="18"/>
          <w:lang w:val="ru-RU" w:eastAsia="en-US" w:bidi="ar-SA"/>
        </w:rPr>
        <w:t>К</w:t>
      </w:r>
      <w:r>
        <w:rPr>
          <w:rFonts w:eastAsia="Times New Roman" w:ascii="Times New Roman" w:hAnsi="Times New Roman"/>
          <w:color w:val="000000"/>
          <w:sz w:val="18"/>
          <w:szCs w:val="18"/>
          <w:lang w:val="ru-RU"/>
        </w:rPr>
        <w:t xml:space="preserve">онечномерные представления группы </w:t>
      </w:r>
      <w:r>
        <w:rPr>
          <w:rFonts w:eastAsia="Times New Roman" w:ascii="Times New Roman" w:hAnsi="Times New Roman"/>
          <w:color w:val="000000"/>
          <w:sz w:val="18"/>
          <w:szCs w:val="18"/>
          <w:lang w:val="en-US"/>
        </w:rPr>
        <w:t>SU(3)</w:t>
      </w:r>
      <w:r>
        <w:rPr>
          <w:rFonts w:eastAsia="Times New Roman" w:ascii="Times New Roman" w:hAnsi="Times New Roman"/>
          <w:color w:val="000000"/>
          <w:sz w:val="18"/>
          <w:szCs w:val="18"/>
          <w:lang w:val="ru-RU"/>
        </w:rPr>
        <w:t xml:space="preserve">. 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sz w:val="18"/>
          <w:szCs w:val="18"/>
        </w:rPr>
      </w:pPr>
      <w:r>
        <w:rPr>
          <w:rFonts w:eastAsia="Times New Roman" w:ascii="Times New Roman" w:hAnsi="Times New Roman"/>
          <w:color w:val="000000"/>
          <w:sz w:val="18"/>
          <w:szCs w:val="18"/>
        </w:rPr>
        <w:tab/>
      </w:r>
      <w:r>
        <w:rPr>
          <w:rFonts w:eastAsia="Times New Roman" w:ascii="Times New Roman" w:hAnsi="Times New Roman"/>
          <w:color w:val="000000"/>
          <w:sz w:val="18"/>
          <w:szCs w:val="18"/>
          <w:lang w:val="ru-RU" w:eastAsia="en-US"/>
        </w:rPr>
        <w:t xml:space="preserve">Группа </w:t>
      </w:r>
      <w:r>
        <w:rPr>
          <w:rFonts w:eastAsia="Times New Roman" w:ascii="Times New Roman" w:hAnsi="Times New Roman"/>
          <w:color w:val="000000"/>
          <w:sz w:val="18"/>
          <w:szCs w:val="18"/>
          <w:lang w:val="en-US" w:eastAsia="en-US"/>
        </w:rPr>
        <w:t xml:space="preserve">SU(3) </w:t>
      </w:r>
      <w:r>
        <w:rPr>
          <w:rFonts w:eastAsia="Times New Roman" w:ascii="Times New Roman" w:hAnsi="Times New Roman"/>
          <w:color w:val="000000"/>
          <w:sz w:val="18"/>
          <w:szCs w:val="18"/>
          <w:lang w:val="ru-RU" w:eastAsia="en-US"/>
        </w:rPr>
        <w:t xml:space="preserve">и её алгебра. Понятие корней и весов. </w:t>
      </w:r>
      <w:r>
        <w:rPr>
          <w:rFonts w:eastAsia="Times New Roman" w:cs="Times New Roman" w:ascii="Times New Roman" w:hAnsi="Times New Roman"/>
          <w:color w:val="000000"/>
          <w:kern w:val="0"/>
          <w:sz w:val="18"/>
          <w:szCs w:val="18"/>
          <w:lang w:val="ru-RU" w:eastAsia="en-US" w:bidi="ar-SA"/>
        </w:rPr>
        <w:t xml:space="preserve">Построение произвольных представлений группы </w:t>
      </w:r>
      <w:r>
        <w:rPr>
          <w:rFonts w:eastAsia="Times New Roman" w:cs="Times New Roman" w:ascii="Times New Roman" w:hAnsi="Times New Roman"/>
          <w:color w:val="000000"/>
          <w:kern w:val="0"/>
          <w:sz w:val="18"/>
          <w:szCs w:val="18"/>
          <w:lang w:val="en-US" w:eastAsia="en-US" w:bidi="ar-SA"/>
        </w:rPr>
        <w:t>SU(3)</w:t>
      </w:r>
      <w:r>
        <w:rPr>
          <w:rFonts w:eastAsia="Times New Roman" w:cs="Times New Roman" w:ascii="Times New Roman" w:hAnsi="Times New Roman"/>
          <w:color w:val="000000"/>
          <w:kern w:val="0"/>
          <w:sz w:val="18"/>
          <w:szCs w:val="18"/>
          <w:lang w:val="ru-RU" w:eastAsia="en-US" w:bidi="ar-SA"/>
        </w:rPr>
        <w:t>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 Материально-техническая база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i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color w:val="FF0000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Указывается необходимое для обучения оборудование, демонстрационные приборы, мультимедийные средства и т.д.; требования к аудиториям – компьютерные классы, лаборатории, учебные аудитории и пр.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u w:val="none"/>
        </w:rPr>
      </w:pPr>
      <w:r>
        <w:rPr>
          <w:rFonts w:ascii="Times New Roman" w:hAnsi="Times New Roman"/>
          <w:i w:val="false"/>
          <w:iCs w:val="false"/>
          <w:sz w:val="18"/>
          <w:szCs w:val="18"/>
          <w:u w:val="none"/>
        </w:rPr>
        <w:t>Класс с доской и мелом/маркером. В случае проведения дистанционных занятий — планшет с возможностью рукописного ввода.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7.Учебно-методическое и информационное обеспечение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sz w:val="18"/>
          <w:szCs w:val="18"/>
        </w:rPr>
        <w:t>7.1. Основная литература: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350" w:leader="none"/>
        </w:tabs>
        <w:spacing w:lineRule="auto" w:line="240" w:before="0" w:after="0"/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val="en-US"/>
        </w:rPr>
        <w:t>H. Georgi. Lie algebras in particle physics – Westview Press, 2 edition, 1999.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350" w:leader="none"/>
        </w:tabs>
        <w:spacing w:lineRule="auto" w:line="240" w:before="0" w:after="0"/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В.А. Рубаков. Классические калибровочные поля. Бозонные теории. — М.: КомКнига, 2005.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1350" w:leader="none"/>
        </w:tabs>
        <w:spacing w:lineRule="auto" w:line="240" w:before="0" w:after="0"/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А.П. Исаев, В.А. Рубаков. Теория групп и симметрий. — М.: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URSS, 2018.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sz w:val="18"/>
          <w:szCs w:val="18"/>
        </w:rPr>
        <w:t>7.2. Дополнительная литература: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350" w:leader="none"/>
        </w:tabs>
        <w:spacing w:lineRule="auto" w:line="240" w:before="0" w:after="0"/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Ю.Б. Румер, А.И. Фет. Теория групп и квантовые поля — М. Наука, 1977.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350" w:leader="none"/>
        </w:tabs>
        <w:spacing w:lineRule="auto" w:line="240" w:before="0" w:after="0"/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А. Барут, Р. Ронечка. Теория представлений групп и её приложения. Т.1. — М.: Мир, 1980.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350" w:leader="none"/>
        </w:tabs>
        <w:spacing w:lineRule="auto" w:line="240" w:before="0" w:after="0"/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Дж. Эллиот, П. Доббер. Симметрия в физике. Т.1. — М.: Мир, 1983.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350" w:leader="none"/>
        </w:tabs>
        <w:spacing w:lineRule="auto" w:line="240" w:before="0" w:after="0"/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А.А. Кириллов. Элементы теории представлений. — М.: Наука, 1978.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350" w:leader="none"/>
        </w:tabs>
        <w:spacing w:lineRule="auto" w:line="240" w:before="0" w:after="0"/>
        <w:jc w:val="left"/>
        <w:rPr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>Л.К. Аминов, А.С. Кутузов, Ю.Н. Прошин. Теория групп и её приложения. Конспект лекций и задачи — Казань: Казан. Ун-т., 2015.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sz w:val="18"/>
          <w:szCs w:val="18"/>
        </w:rPr>
        <w:t>7.3. Учебно-методическая литература:</w:t>
        <w:br/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sz w:val="18"/>
          <w:szCs w:val="18"/>
        </w:rPr>
        <w:t>____________________________</w:t>
      </w:r>
      <w:r>
        <w:rPr>
          <w:rFonts w:eastAsia="Times New Roman" w:cs="Times New Roman" w:ascii="Times New Roman" w:hAnsi="Times New Roman"/>
          <w:sz w:val="18"/>
          <w:szCs w:val="18"/>
        </w:rPr>
        <w:br/>
      </w:r>
    </w:p>
    <w:p>
      <w:pPr>
        <w:pStyle w:val="1"/>
        <w:spacing w:before="120" w:after="20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7.4. Перечень ресурсов сети Интернет 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>(указывается сайт и расположенный на нём ресурс)</w:t>
      </w:r>
      <w:r>
        <w:rPr>
          <w:rFonts w:eastAsia="Times New Roman" w:cs="Times New Roman" w:ascii="Times New Roman" w:hAnsi="Times New Roman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left"/>
        <w:rPr/>
      </w:pPr>
      <w:hyperlink r:id="rId2">
        <w:r>
          <w:rPr>
            <w:rStyle w:val="Style19"/>
            <w:rFonts w:eastAsia="Times New Roman" w:cs="Times New Roman" w:ascii="Times New Roman" w:hAnsi="Times New Roman"/>
            <w:color w:val="000000"/>
            <w:sz w:val="18"/>
            <w:szCs w:val="18"/>
            <w:u w:val="none"/>
          </w:rPr>
          <w:t>http://inspirehep.net/</w:t>
        </w:r>
      </w:hyperlink>
      <w:r>
        <w:rPr>
          <w:rFonts w:eastAsia="Times New Roman" w:cs="Times New Roman" w:ascii="Times New Roman" w:hAnsi="Times New Roman"/>
          <w:color w:val="000000"/>
          <w:sz w:val="18"/>
          <w:szCs w:val="18"/>
          <w:u w:val="none"/>
        </w:rPr>
        <w:t xml:space="preserve"> -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сайт с научны</w:t>
      </w:r>
      <w:r>
        <w:rPr>
          <w:rFonts w:eastAsia="Times New Roman" w:cs="Times New Roman" w:ascii="Times New Roman" w:hAnsi="Times New Roman"/>
          <w:color w:val="000000"/>
          <w:kern w:val="0"/>
          <w:sz w:val="18"/>
          <w:szCs w:val="18"/>
          <w:lang w:val="ru-RU" w:eastAsia="en-US" w:bidi="ar-SA"/>
        </w:rPr>
        <w:t>ми и обзорными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стат</w:t>
      </w:r>
      <w:r>
        <w:rPr>
          <w:rFonts w:eastAsia="Times New Roman" w:cs="Times New Roman" w:ascii="Times New Roman" w:hAnsi="Times New Roman"/>
          <w:color w:val="000000"/>
          <w:kern w:val="0"/>
          <w:sz w:val="18"/>
          <w:szCs w:val="18"/>
          <w:lang w:val="ru-RU" w:eastAsia="en-US" w:bidi="ar-SA"/>
        </w:rPr>
        <w:t>ьями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по тематике курса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 Перечень информационных технологий и программного обеспечения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Перечень используемого в образовательном процессе программного обеспечения, информационных систем и мультимедийных технологий (демонстрация презентаций), систем дистанционного обучения, взаимодействия с обучающимися посредством видеоконференций и вебинаров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u w:val="none"/>
        </w:rPr>
      </w:pP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u w:val="none"/>
          <w:lang w:val="ru-RU" w:eastAsia="en-US" w:bidi="ar-SA"/>
        </w:rPr>
        <w:t xml:space="preserve">При необходимости ведения обучения в дистанционной форме используется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u w:val="none"/>
          <w:lang w:val="en-US" w:eastAsia="en-US" w:bidi="ar-SA"/>
        </w:rPr>
        <w:t>LaTeX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u w:val="none"/>
          <w:lang w:val="ru-RU" w:eastAsia="en-US" w:bidi="ar-SA"/>
        </w:rPr>
        <w:t xml:space="preserve"> для подготовки презентаций и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u w:val="none"/>
          <w:lang w:val="en-US" w:eastAsia="en-US" w:bidi="ar-SA"/>
        </w:rPr>
        <w:t>Zoom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u w:val="none"/>
          <w:lang w:val="ru-RU" w:eastAsia="en-US" w:bidi="ar-SA"/>
        </w:rPr>
        <w:t>/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u w:val="none"/>
          <w:lang w:val="en-US" w:eastAsia="en-US" w:bidi="ar-SA"/>
        </w:rPr>
        <w:t xml:space="preserve">Google Meet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u w:val="none"/>
          <w:lang w:val="ru-RU" w:eastAsia="en-US" w:bidi="ar-SA"/>
        </w:rPr>
        <w:t>для проведения занятия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u w:val="none"/>
          <w:lang w:val="en-US" w:eastAsia="en-US" w:bidi="ar-SA"/>
        </w:rPr>
        <w:t>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 Методические указания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Студент, изучающий дисциплину, должен, с одной стороны, овладеть общим понятийным аппаратом, а с другой стороны, должен научиться применять теоретические знания на практике.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результате изучения дисциплины студент должен знать основные определения и понятия, уметь применять полученные знания для решения различных задач.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Успешное освоение курса требует: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>посещения всех занятий, предусмотренных учебным планом по дисциплине;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>ведения конспекта занятий;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>напряжённой самостоятельной работы студента.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Самостоятельная работа включает в себя: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>чтение рекомендованной литературы;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>проработку учебного материала, подготовку ответов на вопросы, предназначенных для самостоятельного изучения;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>решение задач, предлагаемых студентам на занятиях;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>подготовку к выполнению заданий текущей и промежуточной аттестации.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Показателем владения материалом служит умение без конспекта отвечать на вопросы по темам дисциплины.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Важно добиться понимания изучаемого материала, а не механического его запоминания. При затруднении изучения отдельных тем, вопросов, следует обращаться за консультациями преподавателю.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Возможен промежуточный контроль знаний студентов в виде решения задач в соответствии с тематикой занятий.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10.Фонд оценочных средств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b/>
          <w:sz w:val="18"/>
          <w:szCs w:val="18"/>
        </w:rPr>
        <w:t>Текущий контроль: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10.1. Перечень типовых (примерных) вопросов, заданий, тем для подготовки к текущему контролю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Приводится описание типовых вопросов и (или) заданий, шкала и критерии оценивания, методические рекомендации: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примеры заданий контрольной работы;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примеры задач из домашнего задания;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темы рефератов, курсовых, докладов на семинаре.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rFonts w:ascii="Times New Roman" w:hAnsi="Times New Roman" w:eastAsia="Calibri" w:cs="Times New Roman"/>
          <w:color w:val="auto"/>
          <w:kern w:val="0"/>
          <w:sz w:val="18"/>
          <w:szCs w:val="18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en-US" w:eastAsia="en-US" w:bidi="ar-SA"/>
        </w:rPr>
        <w:t xml:space="preserve">1)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 xml:space="preserve">Построить таблицу Кэли для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en-US" w:eastAsia="en-US" w:bidi="ar-SA"/>
        </w:rPr>
        <w:t>Z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vertAlign w:val="subscript"/>
          <w:lang w:val="en-US" w:eastAsia="en-US" w:bidi="ar-SA"/>
        </w:rPr>
        <w:t>4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en-US" w:eastAsia="en-US" w:bidi="ar-SA"/>
        </w:rPr>
        <w:t>.</w:t>
        <w:br/>
        <w:t xml:space="preserve">2)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 xml:space="preserve">Описать алгебру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en-US" w:eastAsia="en-US" w:bidi="ar-SA"/>
        </w:rPr>
        <w:t>SU(n).</w:t>
        <w:br/>
        <w:t xml:space="preserve">3)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 xml:space="preserve">Какова размерность алгебры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en-US" w:eastAsia="en-US" w:bidi="ar-SA"/>
        </w:rPr>
        <w:t>SO(n)?</w:t>
        <w:br/>
        <w:t xml:space="preserve">4)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 xml:space="preserve">Описать все конечномерные неприводимые представления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en-US" w:eastAsia="en-US" w:bidi="ar-SA"/>
        </w:rPr>
        <w:t>SU(2).</w:t>
        <w:br/>
        <w:t xml:space="preserve">5)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>Что такое алгебра Картана?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rFonts w:ascii="Times New Roman" w:hAnsi="Times New Roman" w:eastAsia="Calibri" w:cs="Times New Roman"/>
          <w:color w:val="auto"/>
          <w:kern w:val="0"/>
          <w:sz w:val="18"/>
          <w:szCs w:val="18"/>
          <w:lang w:val="en-US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>Опросы проводятся с целью проверки усвоения материала, оценки не ставятся.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Промежуточная аттестация: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10.2. Перечень типовых (примерных) вопросов и тем для проведения промежуточной аттестации обучающихся</w:t>
      </w:r>
    </w:p>
    <w:p>
      <w:pPr>
        <w:pStyle w:val="1"/>
        <w:rPr>
          <w:rFonts w:ascii="Times New Roman" w:hAnsi="Times New Roman" w:eastAsia="Times New Roman" w:cs="Times New Roman"/>
          <w:i/>
          <w:i/>
          <w:sz w:val="18"/>
          <w:szCs w:val="18"/>
        </w:rPr>
      </w:pPr>
      <w:r>
        <w:rPr>
          <w:rFonts w:eastAsia="Times New Roman" w:cs="Times New Roman" w:ascii="Times New Roman" w:hAnsi="Times New Roman"/>
          <w:i/>
          <w:sz w:val="18"/>
          <w:szCs w:val="18"/>
        </w:rPr>
        <w:t>(по семестрам, в соответствии с видом отчетности: зачет, дифф. зачет, экзамен)</w:t>
      </w:r>
    </w:p>
    <w:p>
      <w:pPr>
        <w:pStyle w:val="1"/>
        <w:rPr>
          <w:rFonts w:ascii="Times New Roman" w:hAnsi="Times New Roman" w:eastAsia="Times New Roman" w:cs="Times New Roman"/>
          <w:i/>
          <w:i/>
          <w:color w:val="FF0000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color w:val="FF0000"/>
          <w:sz w:val="18"/>
          <w:szCs w:val="18"/>
        </w:rPr>
      </w:r>
    </w:p>
    <w:p>
      <w:pPr>
        <w:pStyle w:val="1"/>
        <w:rPr/>
      </w:pPr>
      <w:r>
        <w:rPr>
          <w:rFonts w:eastAsia="Times New Roman" w:cs="Times New Roman" w:ascii="Times New Roman" w:hAnsi="Times New Roman"/>
          <w:sz w:val="18"/>
          <w:szCs w:val="18"/>
        </w:rPr>
        <w:t>Перечень контрольных вопросов: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1. Конечномерные группы, таблица Кэли.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Группы и алгебры Ли. Фундаментальное представление и представление, сопряженное фундаментальному.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Группы и алгебры Ли. Присоединённое представление.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Конечномерные представления группы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SU(2).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5.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Алгебра Картана. Классификация состояний в квантовой механике.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6. </w:t>
      </w:r>
      <w:r>
        <w:rPr>
          <w:rFonts w:eastAsia="Times New Roman" w:cs="Times New Roman" w:ascii="Times New Roman" w:hAnsi="Times New Roman"/>
          <w:color w:val="000000"/>
          <w:kern w:val="0"/>
          <w:sz w:val="18"/>
          <w:szCs w:val="1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лгебры групп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SU(n)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SO(n),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>их размерности.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7.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Дискретные симметрии в физике.</w:t>
      </w:r>
    </w:p>
    <w:p>
      <w:pPr>
        <w:pStyle w:val="1"/>
        <w:rPr>
          <w:rFonts w:ascii="Times New Roman" w:hAnsi="Times New Roman" w:eastAsia="Times New Roman" w:cs="Times New Roman"/>
          <w:i/>
          <w:i/>
          <w:sz w:val="18"/>
          <w:szCs w:val="18"/>
        </w:rPr>
      </w:pPr>
      <w:r>
        <w:rPr>
          <w:rFonts w:eastAsia="Times New Roman" w:cs="Times New Roman" w:ascii="Times New Roman" w:hAnsi="Times New Roman"/>
          <w:i/>
          <w:sz w:val="18"/>
          <w:szCs w:val="18"/>
        </w:rPr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Примеры контрольных заданий: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Описать фактор-пространство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SO(n)/SO(n-1).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Доказать изоморфность алгебр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SU(2)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SO(3)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.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Доказать, что присоединённое представление эквивалентно спин-1 представлению.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Пусть под действием группы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SU(2)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поля H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X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>являются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дублетами, а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W –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синглетом. Пусть также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H, X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W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имеют заряды </w:t>
      </w:r>
      <w:bookmarkStart w:id="0" w:name="__DdeLink__8960_1301586014"/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q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vertAlign w:val="subscript"/>
          <w:lang w:val="en-US"/>
        </w:rPr>
        <w:t>h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, q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vertAlign w:val="subscript"/>
          <w:lang w:val="en-US"/>
        </w:rPr>
        <w:t>x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q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vertAlign w:val="subscript"/>
          <w:lang w:val="en-US"/>
        </w:rPr>
        <w:t>w</w:t>
      </w:r>
      <w:bookmarkEnd w:id="0"/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en-US"/>
        </w:rPr>
        <w:t xml:space="preserve"> с</w:t>
      </w:r>
      <w:bookmarkStart w:id="1" w:name="__DdeLink__2605_2841620472"/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en-US"/>
        </w:rPr>
        <w:t>оответственно</w:t>
      </w:r>
      <w:bookmarkEnd w:id="1"/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en-US"/>
        </w:rPr>
        <w:t xml:space="preserve"> под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ru-RU"/>
        </w:rPr>
        <w:t xml:space="preserve"> действием группы 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en-US"/>
        </w:rPr>
        <w:t xml:space="preserve">U(1). 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ru-RU"/>
        </w:rPr>
        <w:t xml:space="preserve">При каких соотношениях между 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en-US"/>
        </w:rPr>
        <w:t>q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vertAlign w:val="subscript"/>
          <w:lang w:val="en-US"/>
        </w:rPr>
        <w:t>h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en-US"/>
        </w:rPr>
        <w:t>, q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vertAlign w:val="subscript"/>
          <w:lang w:val="en-US"/>
        </w:rPr>
        <w:t>x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en-US"/>
        </w:rPr>
        <w:t>q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vertAlign w:val="subscript"/>
          <w:lang w:val="en-US"/>
        </w:rPr>
        <w:t>w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en-US"/>
        </w:rPr>
        <w:t xml:space="preserve"> с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ru-RU"/>
        </w:rPr>
        <w:t xml:space="preserve">уществуют 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en-US"/>
        </w:rPr>
        <w:t>SU(2) x U(1)-</w:t>
      </w: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  <w:lang w:val="ru-RU"/>
        </w:rPr>
        <w:t xml:space="preserve">инвариантный член взаимодействия данных полей?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 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5.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Показать, что любое представление группы индуцирует некоторое представление алгебры соответствующей группы. 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6.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Пусть Т — фундаментальное представление алгебры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SU(2).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Поскольку алгебры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SU(2) и SO(3) изоморфны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, ему соответствует некоторое представление алгебры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SO(3).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 xml:space="preserve">Показать, что не существует представления группы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 xml:space="preserve">SO(3),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ru-RU"/>
        </w:rPr>
        <w:t>которое генерировало бы данное представление.</w:t>
      </w:r>
    </w:p>
    <w:p>
      <w:pPr>
        <w:pStyle w:val="1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7.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Показать, что двухмерная сфера является однородным пространством группы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en-US"/>
        </w:rPr>
        <w:t>SO(3).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12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10.3. Критерии оценивания</w:t>
        <w:tab/>
        <w:tab/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Оценка отлично 10 баллов -  выставляется студенту, показавшему всесторонние, систематизированные, глубокие знания учебной программы дисциплины, проявляющему интерес к данной предметной области, продемонстрировавшему умение уверенно и творчески применять их на практике при решении конкретных задач, свободное и правильное обоснование принятых решений.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Оценка отлично 9 баллов - выставляется студенту, показавшему всесторонние, систематизированные, глубокие знания учебной программы дисциплины и умение уверенно применять их на практике при решении конкретных задач, свободное и правильное обоснование принятых решений.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Оценка отлично 8 баллов - выставляется студенту, показавшему всесторонние, систематизированные, глубокие знания учебной программы дисциплины и умение уверенно применять их на практике при решении конкретных задач, правильное обоснование принятых решений, с некоторыми недочетами.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Оценка хорошо 7 баллов - выставляется студенту, если он твердо знает материал, грамотно и по существу излагает его, умеет применять полученные знания на практике, но недостаточно грамотно обосновывает полученные результаты.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Оценка хорошо 6 баллов - выставляется студенту,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Оценка хорошо 5 баллов - выставляется студенту, если он в основном знает материал, грамотно и по существу излагает его, умеет применять полученные знания на практике, но допускает в ответе или в решении задач достаточно большое количество неточностей.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Оценка удовлетворительно 4 балла - выставляется студенту,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освоил основные разделы учебной программы, необходимые для дальнейшего обучения, и может применять полученные знания по образцу в стандартной ситуации.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Оценка удовлетворительно 3 балла - выставляется студенту, показавшему фрагментарный, разрозненный характер знаний, допускающему ошибки в формулировках базовых понятий, нарушения логической последовательности в изложении программного материала, слабо владеет основными разделами учебной программы, необходимыми для дальнейшего обучения и с трудом применяет полученные знания даже в стандартной ситуации.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Оценка неудовлетворительно 2 балла - выставляется студенту, который не знает большей части основного содержания учебной программы дисциплины, допускает грубые ошибки в формулировках основных принципов и не умеет использовать полученные знания при решении типовых задач.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Оценка неудовлетворительно 1 балл - выставляется студенту, который не знает основного содержания учебной программы дисциплины, допускает грубейшие ошибки в формулировках базовых понятий дисциплины и вообще не имеет навыков решения типовых практических задач.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10.4. Методические материалы, определяющие процедуры оценивания знаний, умений, навыков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sz w:val="18"/>
          <w:szCs w:val="18"/>
        </w:rPr>
        <w:t xml:space="preserve">Дифференцированный зачёт проводятся в устной форме по билетам. В каждом билете представлено 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>один</w:t>
      </w:r>
      <w:r>
        <w:rPr>
          <w:rFonts w:ascii="Times New Roman" w:hAnsi="Times New Roman"/>
          <w:sz w:val="18"/>
          <w:szCs w:val="18"/>
        </w:rPr>
        <w:t xml:space="preserve"> теоретически</w:t>
      </w:r>
      <w:r>
        <w:rPr>
          <w:rFonts w:eastAsia="Calibri" w:cs="Times New Roman" w:ascii="Times New Roman" w:hAnsi="Times New Roman"/>
          <w:color w:val="auto"/>
          <w:kern w:val="0"/>
          <w:sz w:val="18"/>
          <w:szCs w:val="18"/>
          <w:lang w:val="ru-RU" w:eastAsia="en-US" w:bidi="ar-SA"/>
        </w:rPr>
        <w:t>й</w:t>
      </w:r>
      <w:r>
        <w:rPr>
          <w:rFonts w:ascii="Times New Roman" w:hAnsi="Times New Roman"/>
          <w:sz w:val="18"/>
          <w:szCs w:val="18"/>
        </w:rPr>
        <w:t xml:space="preserve"> вопрос и одна задача. При проведении зачёта обучающемуся предоставляется 30 минут на подготовку. Опрос обучающегося не должен превышать одного астрономического часа.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11.Составители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>
          <w:rFonts w:ascii="Times New Roman" w:hAnsi="Times New Roman"/>
          <w:sz w:val="18"/>
          <w:szCs w:val="18"/>
        </w:rPr>
        <w:t>Зав. Кафедрой: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 Либанов М.В. 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Дата обсуждения на заседании кафедры:    </w:t>
      </w:r>
      <w:r>
        <w:rPr>
          <w:rFonts w:ascii="Times New Roman" w:hAnsi="Times New Roman"/>
          <w:sz w:val="18"/>
          <w:szCs w:val="18"/>
          <w:highlight w:val="yellow"/>
        </w:rPr>
        <w:t>___________</w:t>
      </w:r>
      <w:r>
        <w:rPr>
          <w:rFonts w:ascii="Times New Roman" w:hAnsi="Times New Roman"/>
          <w:sz w:val="18"/>
          <w:szCs w:val="18"/>
        </w:rPr>
        <w:t xml:space="preserve"> 2020 года</w:t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"/>
        <w:gridCol w:w="3254"/>
        <w:gridCol w:w="2979"/>
        <w:gridCol w:w="3966"/>
      </w:tblGrid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составителя программы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6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Ученая степень</w:t>
            </w:r>
          </w:p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6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Ученое звание</w:t>
            </w:r>
          </w:p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Харук Иван Вячеславович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к.ф.-м.н.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CStyle104"/>
              <w:tabs>
                <w:tab w:val="clear" w:pos="720"/>
                <w:tab w:val="left" w:pos="1350" w:leader="none"/>
              </w:tabs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20"/>
          <w:tab w:val="left" w:pos="1350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bottom w:val="single" w:sz="6" w:space="11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50d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link w:val="a5"/>
    <w:qFormat/>
    <w:rsid w:val="00fd4ab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сновной текст с отступом Знак"/>
    <w:link w:val="a7"/>
    <w:qFormat/>
    <w:rsid w:val="00fd4a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nnotationreference">
    <w:name w:val="annotation reference"/>
    <w:uiPriority w:val="99"/>
    <w:semiHidden/>
    <w:unhideWhenUsed/>
    <w:qFormat/>
    <w:rsid w:val="000e5c6c"/>
    <w:rPr>
      <w:sz w:val="16"/>
      <w:szCs w:val="16"/>
    </w:rPr>
  </w:style>
  <w:style w:type="character" w:styleId="Style16" w:customStyle="1">
    <w:name w:val="Текст примечания Знак"/>
    <w:link w:val="aa"/>
    <w:uiPriority w:val="99"/>
    <w:semiHidden/>
    <w:qFormat/>
    <w:rsid w:val="000e5c6c"/>
    <w:rPr>
      <w:sz w:val="20"/>
      <w:szCs w:val="20"/>
    </w:rPr>
  </w:style>
  <w:style w:type="character" w:styleId="Style17" w:customStyle="1">
    <w:name w:val="Тема примечания Знак"/>
    <w:link w:val="ac"/>
    <w:uiPriority w:val="99"/>
    <w:semiHidden/>
    <w:qFormat/>
    <w:rsid w:val="000e5c6c"/>
    <w:rPr>
      <w:b/>
      <w:bCs/>
      <w:sz w:val="20"/>
      <w:szCs w:val="20"/>
    </w:rPr>
  </w:style>
  <w:style w:type="character" w:styleId="Style18" w:customStyle="1">
    <w:name w:val="Текст выноски Знак"/>
    <w:link w:val="ae"/>
    <w:uiPriority w:val="99"/>
    <w:semiHidden/>
    <w:qFormat/>
    <w:rsid w:val="000e5c6c"/>
    <w:rPr>
      <w:rFonts w:ascii="Tahoma" w:hAnsi="Tahoma" w:cs="Tahoma"/>
      <w:sz w:val="16"/>
      <w:szCs w:val="16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1CStyle1" w:customStyle="1">
    <w:name w:val="1CStyle-1"/>
    <w:qFormat/>
    <w:rsid w:val="00ee3179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b2cad"/>
    <w:pPr>
      <w:spacing w:before="0" w:after="200"/>
      <w:ind w:left="720" w:hanging="0"/>
      <w:contextualSpacing/>
    </w:pPr>
    <w:rPr/>
  </w:style>
  <w:style w:type="paragraph" w:styleId="1CStyle95" w:customStyle="1">
    <w:name w:val="1CStyle95"/>
    <w:qFormat/>
    <w:rsid w:val="001f43b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98" w:customStyle="1">
    <w:name w:val="1CStyle98"/>
    <w:qFormat/>
    <w:rsid w:val="001f43b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02" w:customStyle="1">
    <w:name w:val="1CStyle102"/>
    <w:qFormat/>
    <w:rsid w:val="001f43b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00" w:customStyle="1">
    <w:name w:val="1CStyle100"/>
    <w:qFormat/>
    <w:rsid w:val="001f43b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99" w:customStyle="1">
    <w:name w:val="1CStyle99"/>
    <w:qFormat/>
    <w:rsid w:val="001f43b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01" w:customStyle="1">
    <w:name w:val="1CStyle101"/>
    <w:qFormat/>
    <w:rsid w:val="001f43b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97" w:customStyle="1">
    <w:name w:val="1CStyle97"/>
    <w:qFormat/>
    <w:rsid w:val="001f43b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96" w:customStyle="1">
    <w:name w:val="1CStyle96"/>
    <w:qFormat/>
    <w:rsid w:val="001f43b6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17" w:customStyle="1">
    <w:name w:val="1CStyle117"/>
    <w:qFormat/>
    <w:rsid w:val="001f43b6"/>
    <w:pPr>
      <w:widowControl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11" w:customStyle="1">
    <w:name w:val="1CStyle111"/>
    <w:qFormat/>
    <w:rsid w:val="001f43b6"/>
    <w:pPr>
      <w:widowControl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16" w:customStyle="1">
    <w:name w:val="1CStyle116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14" w:customStyle="1">
    <w:name w:val="1CStyle114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13" w:customStyle="1">
    <w:name w:val="1CStyle113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12" w:customStyle="1">
    <w:name w:val="1CStyle112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15" w:customStyle="1">
    <w:name w:val="1CStyle115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03" w:customStyle="1">
    <w:name w:val="1CStyle103"/>
    <w:qFormat/>
    <w:rsid w:val="001f43b6"/>
    <w:pPr>
      <w:widowControl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10" w:customStyle="1">
    <w:name w:val="1CStyle110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08" w:customStyle="1">
    <w:name w:val="1CStyle108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07" w:customStyle="1">
    <w:name w:val="1CStyle107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06" w:customStyle="1">
    <w:name w:val="1CStyle106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05" w:customStyle="1">
    <w:name w:val="1CStyle105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09" w:customStyle="1">
    <w:name w:val="1CStyle109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04" w:customStyle="1">
    <w:name w:val="1CStyle104"/>
    <w:qFormat/>
    <w:rsid w:val="001f43b6"/>
    <w:pPr>
      <w:widowControl/>
      <w:bidi w:val="0"/>
      <w:spacing w:lineRule="auto" w:line="276" w:before="0" w:after="200"/>
      <w:jc w:val="center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118" w:customStyle="1">
    <w:name w:val="1CStyle118"/>
    <w:qFormat/>
    <w:rsid w:val="001f43b6"/>
    <w:pPr>
      <w:widowControl/>
      <w:bidi w:val="0"/>
      <w:spacing w:lineRule="auto" w:line="276" w:before="0" w:after="20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57" w:customStyle="1">
    <w:name w:val="1CStyle57"/>
    <w:qFormat/>
    <w:rsid w:val="001e609f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CStyle68" w:customStyle="1">
    <w:name w:val="1CStyle68"/>
    <w:qFormat/>
    <w:rsid w:val="001e609f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PlainText">
    <w:name w:val="Plain Text"/>
    <w:basedOn w:val="Normal"/>
    <w:link w:val="a6"/>
    <w:qFormat/>
    <w:rsid w:val="00fd4abd"/>
    <w:pPr>
      <w:spacing w:lineRule="auto" w:line="240" w:before="0" w:after="0"/>
    </w:pPr>
    <w:rPr>
      <w:rFonts w:ascii="Courier New" w:hAnsi="Courier New" w:eastAsia="Times New Roman"/>
      <w:sz w:val="20"/>
      <w:szCs w:val="20"/>
      <w:lang w:eastAsia="ru-RU"/>
    </w:rPr>
  </w:style>
  <w:style w:type="paragraph" w:styleId="Style25">
    <w:name w:val="Body Text Indent"/>
    <w:basedOn w:val="Normal"/>
    <w:link w:val="a8"/>
    <w:rsid w:val="00fd4abd"/>
    <w:pPr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0e5c6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0e5c6c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0e5c6c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tandard" w:customStyle="1">
    <w:name w:val="Standard"/>
    <w:qFormat/>
    <w:rsid w:val="00da7e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en-US" w:bidi="ar-SA"/>
    </w:rPr>
  </w:style>
  <w:style w:type="paragraph" w:styleId="1" w:customStyle="1">
    <w:name w:val="Обычный1"/>
    <w:qFormat/>
    <w:rsid w:val="008d159c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f43b6"/>
    <w:rPr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4d4f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spirehep.ne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Application>LibreOffice/6.3.6.2$Windows_X86_64 LibreOffice_project/2196df99b074d8a661f4036fca8fa0cbfa33a497</Application>
  <Pages>8</Pages>
  <Words>3105</Words>
  <Characters>22979</Characters>
  <CharactersWithSpaces>25757</CharactersWithSpaces>
  <Paragraphs>394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2020-08-20T09:55:00Z</dcterms:created>
  <dc:creator>Пользователь Windows</dc:creator>
  <dc:description/>
  <dc:language>ru-RU</dc:language>
  <cp:lastModifiedBy/>
  <dcterms:modified xsi:type="dcterms:W3CDTF">2020-08-26T15:49:44Z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